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037" w:rsidRDefault="00A63037">
      <w:pPr>
        <w:pStyle w:val="ConsPlusNormal"/>
        <w:jc w:val="right"/>
        <w:outlineLvl w:val="0"/>
      </w:pPr>
      <w:r>
        <w:t>Приложение N 5</w:t>
      </w:r>
    </w:p>
    <w:p w:rsidR="00A63037" w:rsidRDefault="00A63037">
      <w:pPr>
        <w:pStyle w:val="ConsPlusNormal"/>
        <w:jc w:val="right"/>
      </w:pPr>
      <w:r>
        <w:t>к Программе</w:t>
      </w:r>
    </w:p>
    <w:p w:rsidR="00A63037" w:rsidRDefault="00A630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30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3037" w:rsidRDefault="00A630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3037" w:rsidRDefault="00A630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3037" w:rsidRDefault="00A63037">
            <w:pPr>
              <w:pStyle w:val="ConsPlusNormal"/>
              <w:jc w:val="both"/>
            </w:pPr>
            <w:r>
              <w:rPr>
                <w:color w:val="392C69"/>
              </w:rPr>
              <w:t xml:space="preserve">Действие Правил применяется к правоотношениям, возникшим при составлении и исполнении областного бюджета, начиная с формирования областного бюджета на 2025 год и плановый период 2026 и 2027 годов (пункт 2 </w:t>
            </w:r>
            <w:hyperlink r:id="rId5">
              <w:r>
                <w:rPr>
                  <w:color w:val="0000FF"/>
                </w:rPr>
                <w:t>постановления</w:t>
              </w:r>
            </w:hyperlink>
            <w:r>
              <w:rPr>
                <w:color w:val="392C69"/>
              </w:rPr>
              <w:t xml:space="preserve"> Правительства Мурманской области от 21.02.2025 N 111-ПП).</w:t>
            </w:r>
          </w:p>
        </w:tc>
        <w:tc>
          <w:tcPr>
            <w:tcW w:w="113" w:type="dxa"/>
            <w:tcBorders>
              <w:top w:val="nil"/>
              <w:left w:val="nil"/>
              <w:bottom w:val="nil"/>
              <w:right w:val="nil"/>
            </w:tcBorders>
            <w:shd w:val="clear" w:color="auto" w:fill="F4F3F8"/>
            <w:tcMar>
              <w:top w:w="0" w:type="dxa"/>
              <w:left w:w="0" w:type="dxa"/>
              <w:bottom w:w="0" w:type="dxa"/>
              <w:right w:w="0" w:type="dxa"/>
            </w:tcMar>
          </w:tcPr>
          <w:p w:rsidR="00A63037" w:rsidRDefault="00A63037">
            <w:pPr>
              <w:pStyle w:val="ConsPlusNormal"/>
            </w:pPr>
          </w:p>
        </w:tc>
      </w:tr>
    </w:tbl>
    <w:p w:rsidR="00A63037" w:rsidRDefault="00A63037">
      <w:pPr>
        <w:pStyle w:val="ConsPlusTitle"/>
        <w:spacing w:before="280"/>
        <w:jc w:val="center"/>
      </w:pPr>
      <w:r>
        <w:t>ПРАВИЛА</w:t>
      </w:r>
    </w:p>
    <w:p w:rsidR="00A63037" w:rsidRDefault="00A63037">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A63037" w:rsidRDefault="00A63037">
      <w:pPr>
        <w:pStyle w:val="ConsPlusTitle"/>
        <w:jc w:val="center"/>
      </w:pPr>
      <w:r>
        <w:t xml:space="preserve">БЮДЖЕТА МЕСТНЫМ БЮДЖЕТАМ МУРМАНСКОЙ ОБЛАСТИ НА </w:t>
      </w:r>
      <w:proofErr w:type="gramStart"/>
      <w:r>
        <w:t>ТЕХНИЧЕСКОЕ</w:t>
      </w:r>
      <w:proofErr w:type="gramEnd"/>
    </w:p>
    <w:p w:rsidR="00A63037" w:rsidRDefault="00A63037">
      <w:pPr>
        <w:pStyle w:val="ConsPlusTitle"/>
        <w:jc w:val="center"/>
      </w:pPr>
      <w:r>
        <w:t>ОСНАЩЕНИЕ МУНИЦИПАЛЬНЫХ МУЗЕЕВ</w:t>
      </w:r>
    </w:p>
    <w:p w:rsidR="00A63037" w:rsidRDefault="00A63037">
      <w:pPr>
        <w:pStyle w:val="ConsPlusNormal"/>
        <w:jc w:val="both"/>
      </w:pPr>
    </w:p>
    <w:p w:rsidR="00A63037" w:rsidRDefault="00A63037">
      <w:pPr>
        <w:pStyle w:val="ConsPlusNormal"/>
        <w:ind w:firstLine="540"/>
        <w:jc w:val="both"/>
      </w:pPr>
      <w:r>
        <w:t>1. Настоящие Правила устанавливают порядок, цели и условия предоставления и распределения субсидии из областного бюджета местным бюджетам Мурманской области для реализации мероприятий муниципальных программ, предусматривающих техническое оснащение муниципальных музеев (далее соответственно - Правила, субсидия).</w:t>
      </w:r>
    </w:p>
    <w:p w:rsidR="00A63037" w:rsidRDefault="00A63037">
      <w:pPr>
        <w:pStyle w:val="ConsPlusNormal"/>
        <w:spacing w:before="220"/>
        <w:ind w:firstLine="540"/>
        <w:jc w:val="both"/>
      </w:pPr>
      <w:proofErr w:type="gramStart"/>
      <w:r>
        <w:t>В настоящих Правилах под муниципальными музеями понимаются музеи - некоммерческие учреждения культуры, созданные муниципальными образованиями для хранения, изучения и публичного представления музейных предметов и музейных коллекций, включенных в состав Музейного фонда Российской Федерации, зарегистрированные в реестре музеев, включенные в состав Музейного фонда Российской Федерации, Государственного каталога Музейного фонда Российской Федерации.</w:t>
      </w:r>
      <w:proofErr w:type="gramEnd"/>
    </w:p>
    <w:p w:rsidR="00A63037" w:rsidRDefault="00A63037">
      <w:pPr>
        <w:pStyle w:val="ConsPlusNormal"/>
        <w:spacing w:before="220"/>
        <w:ind w:firstLine="540"/>
        <w:jc w:val="both"/>
      </w:pPr>
      <w:r>
        <w:t xml:space="preserve">2. </w:t>
      </w:r>
      <w:proofErr w:type="gramStart"/>
      <w:r>
        <w:t>Министерство культуры Мурманской области (далее - Министерство)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субсидии на техническое оснащение муниципальных музеев и предоставлению в Министерство культуры Российской Федерации отчетов о расходах, источником финансового обеспечения которых являются субсидии из федерального бюджета бюджету Мурманской области на техническое оснащение муниципальных</w:t>
      </w:r>
      <w:proofErr w:type="gramEnd"/>
      <w:r>
        <w:t xml:space="preserve"> музеев.</w:t>
      </w:r>
    </w:p>
    <w:p w:rsidR="00A63037" w:rsidRDefault="00A63037">
      <w:pPr>
        <w:pStyle w:val="ConsPlusNormal"/>
        <w:spacing w:before="220"/>
        <w:ind w:firstLine="540"/>
        <w:jc w:val="both"/>
      </w:pPr>
      <w:bookmarkStart w:id="0" w:name="P12"/>
      <w:bookmarkEnd w:id="0"/>
      <w:r>
        <w:t>3. Субсидия предоставляется в целях софинансирования расходных обязательств, возникающих при выполнении полномочий органов местного самоуправления муниципальных образований, в целях реализации региональных проектов, обеспечивающих достижение показателей и результатов федерального проекта "Семейные ценности и инфраструктура культуры", по следующим направлениям:</w:t>
      </w:r>
    </w:p>
    <w:p w:rsidR="00A63037" w:rsidRDefault="00A63037">
      <w:pPr>
        <w:pStyle w:val="ConsPlusNormal"/>
        <w:spacing w:before="220"/>
        <w:ind w:firstLine="540"/>
        <w:jc w:val="both"/>
      </w:pPr>
      <w:r>
        <w:t>- приобретение оборудования и технических средств, необходимых для осуществления экспозиционно-выставочной деятельности (включая доставку, погрузочно-разгрузочные работы, монтаж, установку, а также пусконаладочные работы);</w:t>
      </w:r>
    </w:p>
    <w:p w:rsidR="00A63037" w:rsidRDefault="00A63037">
      <w:pPr>
        <w:pStyle w:val="ConsPlusNormal"/>
        <w:spacing w:before="220"/>
        <w:ind w:firstLine="540"/>
        <w:jc w:val="both"/>
      </w:pPr>
      <w:r>
        <w:t>- приобретение оборудования и технических средств, необходимых для обеспечения сохранности и хранения музейных предметов (фондовое оборудование) (включая доставку, монтаж, установку, погрузочно-разгрузочные работы, а также пусконаладочные работы);</w:t>
      </w:r>
    </w:p>
    <w:p w:rsidR="00A63037" w:rsidRDefault="00A63037">
      <w:pPr>
        <w:pStyle w:val="ConsPlusNormal"/>
        <w:spacing w:before="220"/>
        <w:ind w:firstLine="540"/>
        <w:jc w:val="both"/>
      </w:pPr>
      <w:r>
        <w:t>- приобретение оборудования и технических средств, необходимых для обеспечения открытого хранения музейных предметов (включая доставку, монтаж, установку, погрузочно-разгрузочные работы, а также пусконаладочные работы);</w:t>
      </w:r>
    </w:p>
    <w:p w:rsidR="00A63037" w:rsidRDefault="00A63037">
      <w:pPr>
        <w:pStyle w:val="ConsPlusNormal"/>
        <w:spacing w:before="220"/>
        <w:ind w:firstLine="540"/>
        <w:jc w:val="both"/>
      </w:pPr>
      <w:r>
        <w:t xml:space="preserve">- приобретение оборудования и технических средств, необходимых для осуществления уставной деятельности, включая автоматизированные билетные системы, автоматизированные </w:t>
      </w:r>
      <w:r>
        <w:lastRenderedPageBreak/>
        <w:t>системы учета музейных предметов, а также специализированное оборудование для работы с посетителями с ограниченными возможностями здоровья (включая доставку, монтаж, установку, погрузочно-разгрузочные работы, а также пусконаладочные работы).</w:t>
      </w:r>
    </w:p>
    <w:p w:rsidR="00A63037" w:rsidRDefault="00A63037">
      <w:pPr>
        <w:pStyle w:val="ConsPlusNormal"/>
        <w:spacing w:before="220"/>
        <w:ind w:firstLine="540"/>
        <w:jc w:val="both"/>
      </w:pPr>
      <w:r>
        <w:t>Оборудование и технические средства должны обеспечивать долговременную сохранность (как в фондохранилищах, так и в экспозициях) музейных предметов, исключать возможность их хищения, разрушения и повреждения, а также создавать благоприятные условия для их представления и изучения (включая доставку, монтаж, установку и пусконаладочные работы).</w:t>
      </w:r>
    </w:p>
    <w:p w:rsidR="00A63037" w:rsidRDefault="00A63037">
      <w:pPr>
        <w:pStyle w:val="ConsPlusNormal"/>
        <w:spacing w:before="220"/>
        <w:ind w:firstLine="540"/>
        <w:jc w:val="both"/>
      </w:pPr>
      <w:r>
        <w:t xml:space="preserve">Экспозиционно-выставочное, фондовое и климатическое оборудование должны обеспечивать режимы хранения музейных предметов, установленные Едиными </w:t>
      </w:r>
      <w:hyperlink r:id="rId6">
        <w:r>
          <w:rPr>
            <w:color w:val="0000FF"/>
          </w:rPr>
          <w:t>правилами</w:t>
        </w:r>
      </w:hyperlink>
      <w:r>
        <w:t xml:space="preserve"> организации комплектования, учета, хранения и использования музейных предметов и музейных коллекций, утвержденными приказом Минкультуры России от 23.07.2020 N 827 (зарегистрирован Минюстом России 05.11.2020, регистрационный N 60748) (включая доставку, монтаж, установку, погрузочно-разгрузочные работы, а также пусконаладочные работы).</w:t>
      </w:r>
    </w:p>
    <w:p w:rsidR="00A63037" w:rsidRDefault="00A63037">
      <w:pPr>
        <w:pStyle w:val="ConsPlusNormal"/>
        <w:spacing w:before="220"/>
        <w:ind w:firstLine="540"/>
        <w:jc w:val="both"/>
      </w:pPr>
      <w:r>
        <w:t>Автоматизированные системы продажи билетов и учета фондов и их прикладные части должны иметь открытый исходный код и предусматривать различные режимы работы: с использованием веб-соединения и без него. Автоматизированные системы и программные платформы, используемые для их разработки, должны отвечать требованиям государственной программы импортозамещения и являться продуктами российского производителя (включая доставку, монтаж, установку, погрузочно-разгрузочные работы, а также пусконаладочные работы).</w:t>
      </w:r>
    </w:p>
    <w:p w:rsidR="00A63037" w:rsidRDefault="00A63037">
      <w:pPr>
        <w:pStyle w:val="ConsPlusNormal"/>
        <w:spacing w:before="220"/>
        <w:ind w:firstLine="540"/>
        <w:jc w:val="both"/>
      </w:pPr>
      <w:r>
        <w:t>4. Министерство осуществляет конкурсный отбор и определение победителя для предоставления субсидии из областного бюджета на техническое оснащение муниципальных музеев.</w:t>
      </w:r>
    </w:p>
    <w:p w:rsidR="00A63037" w:rsidRDefault="00A63037">
      <w:pPr>
        <w:pStyle w:val="ConsPlusNormal"/>
        <w:spacing w:before="220"/>
        <w:ind w:firstLine="540"/>
        <w:jc w:val="both"/>
      </w:pPr>
      <w:r>
        <w:t xml:space="preserve">5. Отбор муниципальных образований для предоставления субсидии на проведение мероприятий, предусмотренных </w:t>
      </w:r>
      <w:hyperlink w:anchor="P12">
        <w:r>
          <w:rPr>
            <w:color w:val="0000FF"/>
          </w:rPr>
          <w:t>пунктом 3</w:t>
        </w:r>
      </w:hyperlink>
      <w:r>
        <w:t xml:space="preserve"> настоящих Правил, осуществляется Министерством в соответствии со следующими критериями:</w:t>
      </w:r>
    </w:p>
    <w:p w:rsidR="00A63037" w:rsidRDefault="00A63037">
      <w:pPr>
        <w:pStyle w:val="ConsPlusNormal"/>
        <w:spacing w:before="220"/>
        <w:ind w:firstLine="540"/>
        <w:jc w:val="both"/>
      </w:pPr>
      <w:r>
        <w:t>а) наличие заявки муниципального образования о предоставлении субсидии, подписанной главой администрации муниципального образования либо уполномоченным должностным лицом;</w:t>
      </w:r>
    </w:p>
    <w:p w:rsidR="00A63037" w:rsidRDefault="00A63037">
      <w:pPr>
        <w:pStyle w:val="ConsPlusNormal"/>
        <w:spacing w:before="220"/>
        <w:ind w:firstLine="540"/>
        <w:jc w:val="both"/>
      </w:pPr>
      <w:r>
        <w:t>б) наличие регистрации муниципального музея, техническое оснащение которого планируется за счет средств субсидии, в реестре музеев федеральной государственной информационной системы Государственного каталога музейного фонда;</w:t>
      </w:r>
    </w:p>
    <w:p w:rsidR="00A63037" w:rsidRDefault="00A63037">
      <w:pPr>
        <w:pStyle w:val="ConsPlusNormal"/>
        <w:spacing w:before="220"/>
        <w:ind w:firstLine="540"/>
        <w:jc w:val="both"/>
      </w:pPr>
      <w:r>
        <w:t xml:space="preserve">в) справка об отсутствии софинансирования из регионального бюджета расходных обязательств муниципального образования по направлениям, указанным в </w:t>
      </w:r>
      <w:hyperlink w:anchor="P12">
        <w:r>
          <w:rPr>
            <w:color w:val="0000FF"/>
          </w:rPr>
          <w:t>пункте 3</w:t>
        </w:r>
      </w:hyperlink>
      <w:r>
        <w:t xml:space="preserve"> настоящих Правил.</w:t>
      </w:r>
    </w:p>
    <w:p w:rsidR="00A63037" w:rsidRDefault="00A63037">
      <w:pPr>
        <w:pStyle w:val="ConsPlusNormal"/>
        <w:spacing w:before="220"/>
        <w:ind w:firstLine="540"/>
        <w:jc w:val="both"/>
      </w:pPr>
      <w:r>
        <w:t>6. Условиями предоставления субсидии из областного бюджета местным бюджетам являются:</w:t>
      </w:r>
    </w:p>
    <w:p w:rsidR="00A63037" w:rsidRDefault="00A63037">
      <w:pPr>
        <w:pStyle w:val="ConsPlusNormal"/>
        <w:spacing w:before="220"/>
        <w:ind w:firstLine="540"/>
        <w:jc w:val="both"/>
      </w:pPr>
      <w:r>
        <w:t>- наличие принятого в установленном порядке муниципального нормативного правового акта, утверждающего перечень мероприятий, в целях софинансирования которых предоставляется субсидия;</w:t>
      </w:r>
    </w:p>
    <w:p w:rsidR="00A63037" w:rsidRDefault="00A63037">
      <w:pPr>
        <w:pStyle w:val="ConsPlusNormal"/>
        <w:spacing w:before="220"/>
        <w:ind w:firstLine="540"/>
        <w:jc w:val="both"/>
      </w:pPr>
      <w:r>
        <w:t>- заключение между Министерством и органом местного самоуправления муниципального образования соглашения о предоставлении субсидии из областного бюджета местному бюджету (далее - соглашение), предусматривающего обязательства муниципального образования по исполнению расходного обязательства, в целях софинансирования которого предоставляется субсидия, и ответственность за невыполнение предусмотренных указанным соглашением обязательств.</w:t>
      </w:r>
    </w:p>
    <w:p w:rsidR="00A63037" w:rsidRDefault="00A63037">
      <w:pPr>
        <w:pStyle w:val="ConsPlusNormal"/>
        <w:spacing w:before="220"/>
        <w:ind w:firstLine="540"/>
        <w:jc w:val="both"/>
      </w:pPr>
      <w:proofErr w:type="gramStart"/>
      <w:r>
        <w:t xml:space="preserve">Если за счет средств субсидий муниципальными заказчиками, муниципальными бюджетными учреждениями, муниципальными унитарными предприятиями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7">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w:t>
      </w:r>
      <w:proofErr w:type="gramEnd"/>
      <w:r>
        <w:t xml:space="preserve">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 Если за счет средств субсидий автономным учреждением, иным юридическим лицом осуществляется закупка в соответствии с </w:t>
      </w:r>
      <w:hyperlink r:id="rId8">
        <w:r>
          <w:rPr>
            <w:color w:val="0000FF"/>
          </w:rPr>
          <w:t>частью 4 статьи 15</w:t>
        </w:r>
      </w:hyperlink>
      <w:r>
        <w:t xml:space="preserve">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 </w:t>
      </w:r>
      <w:proofErr w:type="gramStart"/>
      <w:r>
        <w:t xml:space="preserve">Закупки товаров, работ, услуг за счет средств субсидий в соответствии с Федеральным </w:t>
      </w:r>
      <w:hyperlink r:id="rId9">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10">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A63037" w:rsidRDefault="00A63037">
      <w:pPr>
        <w:pStyle w:val="ConsPlusNormal"/>
        <w:spacing w:before="220"/>
        <w:ind w:firstLine="540"/>
        <w:jc w:val="both"/>
      </w:pPr>
      <w:r>
        <w:t>Срок исполнения работ, услуг, поставки товаров в обязательном порядке предварительно согласовывается с Министерством.</w:t>
      </w:r>
    </w:p>
    <w:p w:rsidR="00A63037" w:rsidRDefault="00A63037">
      <w:pPr>
        <w:pStyle w:val="ConsPlusNormal"/>
        <w:spacing w:before="220"/>
        <w:ind w:firstLine="540"/>
        <w:jc w:val="both"/>
      </w:pPr>
      <w:r>
        <w:t xml:space="preserve">7. </w:t>
      </w:r>
      <w:proofErr w:type="gramStart"/>
      <w:r>
        <w:t xml:space="preserve">Субсидии предоставляются бюджетам муниципальных образований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Министерству на цели, указанные в </w:t>
      </w:r>
      <w:hyperlink w:anchor="P12">
        <w:r>
          <w:rPr>
            <w:color w:val="0000FF"/>
          </w:rPr>
          <w:t>пункте 3</w:t>
        </w:r>
      </w:hyperlink>
      <w:r>
        <w:t xml:space="preserve"> настоящих Правил, на основании соглашений, заключенных между Министерством</w:t>
      </w:r>
      <w:proofErr w:type="gramEnd"/>
      <w:r>
        <w:t xml:space="preserve"> и органами местного самоуправления муниципальных образований (далее - соглашения) в государственной интегрированной информационной системе управления общественными финансами "Электронный бюджет".</w:t>
      </w:r>
    </w:p>
    <w:p w:rsidR="00A63037" w:rsidRDefault="00A63037">
      <w:pPr>
        <w:pStyle w:val="ConsPlusNormal"/>
        <w:spacing w:before="220"/>
        <w:ind w:firstLine="540"/>
        <w:jc w:val="both"/>
      </w:pPr>
      <w:r>
        <w:t>При заключении соглашения орган местного самоуправления представляет в Министерство (в электронном виде и на бумажном носителе) отчетность об исполнении условий предоставления субсидии.</w:t>
      </w:r>
    </w:p>
    <w:p w:rsidR="00A63037" w:rsidRDefault="00A63037">
      <w:pPr>
        <w:pStyle w:val="ConsPlusNormal"/>
        <w:spacing w:before="220"/>
        <w:ind w:firstLine="540"/>
        <w:jc w:val="both"/>
      </w:pPr>
      <w:r>
        <w:t>8. Распределение субсидий из областного бюджета между муниципальными образованиями при распределении субсидий между бюджетами двух и более муниципальных образований производится по формуле:</w:t>
      </w:r>
    </w:p>
    <w:p w:rsidR="00A63037" w:rsidRDefault="00A63037">
      <w:pPr>
        <w:pStyle w:val="ConsPlusNormal"/>
        <w:jc w:val="both"/>
      </w:pPr>
    </w:p>
    <w:p w:rsidR="00A63037" w:rsidRDefault="00A63037">
      <w:pPr>
        <w:pStyle w:val="ConsPlusNormal"/>
        <w:jc w:val="center"/>
      </w:pPr>
      <w:r>
        <w:t xml:space="preserve">Vi = V x Зi / </w:t>
      </w:r>
      <w:proofErr w:type="gramStart"/>
      <w:r>
        <w:t>З</w:t>
      </w:r>
      <w:proofErr w:type="gramEnd"/>
      <w:r>
        <w:t>, где:</w:t>
      </w:r>
    </w:p>
    <w:p w:rsidR="00A63037" w:rsidRDefault="00A63037">
      <w:pPr>
        <w:pStyle w:val="ConsPlusNormal"/>
        <w:jc w:val="both"/>
      </w:pPr>
    </w:p>
    <w:p w:rsidR="00A63037" w:rsidRDefault="00A63037">
      <w:pPr>
        <w:pStyle w:val="ConsPlusNormal"/>
        <w:ind w:firstLine="540"/>
        <w:jc w:val="both"/>
      </w:pPr>
      <w:r>
        <w:t>Vi - размер субсидии из областного бюджета на i-му получателю по итогам конкурсного отбора, но не более заявленного объема;</w:t>
      </w:r>
    </w:p>
    <w:p w:rsidR="00A63037" w:rsidRDefault="00A63037">
      <w:pPr>
        <w:pStyle w:val="ConsPlusNormal"/>
        <w:spacing w:before="220"/>
        <w:ind w:firstLine="540"/>
        <w:jc w:val="both"/>
      </w:pPr>
      <w:r>
        <w:t>V - общая сумма ассигнований областного бюджета на предоставление субсидии местным бюджетам;</w:t>
      </w:r>
    </w:p>
    <w:p w:rsidR="00A63037" w:rsidRDefault="00A63037">
      <w:pPr>
        <w:pStyle w:val="ConsPlusNormal"/>
        <w:spacing w:before="220"/>
        <w:ind w:firstLine="540"/>
        <w:jc w:val="both"/>
      </w:pPr>
      <w:r>
        <w:t>З</w:t>
      </w:r>
      <w:proofErr w:type="gramStart"/>
      <w:r>
        <w:t>i</w:t>
      </w:r>
      <w:proofErr w:type="gramEnd"/>
      <w:r>
        <w:t xml:space="preserve"> - сумма заявки i-го муниципального образования;</w:t>
      </w:r>
    </w:p>
    <w:p w:rsidR="00A63037" w:rsidRDefault="00A63037">
      <w:pPr>
        <w:pStyle w:val="ConsPlusNormal"/>
        <w:spacing w:before="220"/>
        <w:ind w:firstLine="540"/>
        <w:jc w:val="both"/>
      </w:pPr>
      <w:proofErr w:type="gramStart"/>
      <w:r>
        <w:t>З</w:t>
      </w:r>
      <w:proofErr w:type="gramEnd"/>
      <w:r>
        <w:t xml:space="preserve"> - общий объем софинансирования, заявленный муниципальными образованиями, признанными победителями.</w:t>
      </w:r>
    </w:p>
    <w:p w:rsidR="00A63037" w:rsidRDefault="00A63037">
      <w:pPr>
        <w:pStyle w:val="ConsPlusNormal"/>
        <w:spacing w:before="220"/>
        <w:ind w:firstLine="540"/>
        <w:jc w:val="both"/>
      </w:pPr>
      <w:r>
        <w:t>9. Уровень софинансирования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софинансирования, утвержденного постановлением Правительства Мурманской области на год, в котором предоставляется субсидия.</w:t>
      </w:r>
    </w:p>
    <w:p w:rsidR="00A63037" w:rsidRDefault="00A63037">
      <w:pPr>
        <w:pStyle w:val="ConsPlusNormal"/>
        <w:spacing w:before="220"/>
        <w:ind w:firstLine="540"/>
        <w:jc w:val="both"/>
      </w:pPr>
      <w:r>
        <w:t>10. Показателем результативности использования субсидий является количество технически оснащенных муниципальных музеев.</w:t>
      </w:r>
    </w:p>
    <w:p w:rsidR="00A63037" w:rsidRDefault="00A63037">
      <w:pPr>
        <w:pStyle w:val="ConsPlusNormal"/>
        <w:spacing w:before="220"/>
        <w:ind w:firstLine="540"/>
        <w:jc w:val="both"/>
      </w:pPr>
      <w:r>
        <w:t>11. Оценка результативности использования субсидии осуществляется Министерством путем сравнения фактически достигнутого значения показателя результативности использования субсидии со значением показателя результативности использования субсидии, указанного в соглашении о предоставлении субсидии, на основании отчетных данных, представленных муниципальным образованием по итогам отчетного года, а также с учетом увеличения количества посетителей.</w:t>
      </w:r>
    </w:p>
    <w:p w:rsidR="00A63037" w:rsidRDefault="00A63037">
      <w:pPr>
        <w:pStyle w:val="ConsPlusNormal"/>
        <w:spacing w:before="220"/>
        <w:ind w:firstLine="540"/>
        <w:jc w:val="both"/>
      </w:pPr>
      <w:r>
        <w:t>12.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A63037" w:rsidRDefault="00A63037">
      <w:pPr>
        <w:pStyle w:val="ConsPlusNormal"/>
        <w:spacing w:before="220"/>
        <w:ind w:firstLine="540"/>
        <w:jc w:val="both"/>
      </w:pPr>
      <w:r>
        <w:t>Учет операций, связанных с использованием субсидии, осуществляется на лицевых счетах получателей средств муниципального образования, открытых в территориальном органе Федерального казначейства, а при передаче субсидий в бюджеты городских и сельских поселений - на лицевых счетах получателей средств городского, сельского поселения, открытых в территориальном органе Федерального казначейства.</w:t>
      </w:r>
    </w:p>
    <w:p w:rsidR="00A63037" w:rsidRDefault="00A63037">
      <w:pPr>
        <w:pStyle w:val="ConsPlusNormal"/>
        <w:spacing w:before="220"/>
        <w:ind w:firstLine="540"/>
        <w:jc w:val="both"/>
      </w:pPr>
      <w:r>
        <w:t xml:space="preserve">13. </w:t>
      </w: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w:t>
      </w:r>
      <w:proofErr w:type="gramEnd"/>
      <w:r>
        <w:t xml:space="preserve"> областного бюджета.</w:t>
      </w:r>
    </w:p>
    <w:p w:rsidR="00A63037" w:rsidRDefault="00A63037">
      <w:pPr>
        <w:pStyle w:val="ConsPlusNormal"/>
        <w:spacing w:before="220"/>
        <w:ind w:firstLine="540"/>
        <w:jc w:val="both"/>
      </w:pPr>
      <w:r>
        <w:t>14. Субсидии носят целевой характер и не могут быть использованы на другие цели.</w:t>
      </w:r>
    </w:p>
    <w:p w:rsidR="00A63037" w:rsidRDefault="00A63037">
      <w:pPr>
        <w:pStyle w:val="ConsPlusNormal"/>
        <w:spacing w:before="220"/>
        <w:ind w:firstLine="540"/>
        <w:jc w:val="both"/>
      </w:pPr>
      <w:r>
        <w:t xml:space="preserve">15.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1">
        <w:r>
          <w:rPr>
            <w:color w:val="0000FF"/>
          </w:rPr>
          <w:t>пунктами 12</w:t>
        </w:r>
      </w:hyperlink>
      <w:r>
        <w:t xml:space="preserve">, </w:t>
      </w:r>
      <w:hyperlink r:id="rId12">
        <w:r>
          <w:rPr>
            <w:color w:val="0000FF"/>
          </w:rPr>
          <w:t>13</w:t>
        </w:r>
      </w:hyperlink>
      <w:r>
        <w:t xml:space="preserve"> и </w:t>
      </w:r>
      <w:hyperlink r:id="rId13">
        <w:r>
          <w:rPr>
            <w:color w:val="0000FF"/>
          </w:rPr>
          <w:t>16</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w:t>
      </w:r>
      <w:proofErr w:type="gramEnd"/>
      <w:r>
        <w:t xml:space="preserve"> 05.09.2011 N 445-ПП.</w:t>
      </w:r>
    </w:p>
    <w:p w:rsidR="00A63037" w:rsidRDefault="00A63037">
      <w:pPr>
        <w:pStyle w:val="ConsPlusNormal"/>
        <w:spacing w:before="220"/>
        <w:ind w:firstLine="540"/>
        <w:jc w:val="both"/>
      </w:pPr>
      <w:proofErr w:type="gramStart"/>
      <w:r>
        <w:t xml:space="preserve">Основанием для освобождения муниципальных образований от применения мер ответственности за нарушение обязательств, предусмотренных соглашениями, является документально подтвержденное наступление обстоятельств непреодолимой силы, препятствующих исполнению соответствующих обязательств, в соответствии с </w:t>
      </w:r>
      <w:hyperlink r:id="rId14">
        <w:r>
          <w:rPr>
            <w:color w:val="0000FF"/>
          </w:rPr>
          <w:t>пунктом 14</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w:t>
      </w:r>
      <w:proofErr w:type="gramEnd"/>
    </w:p>
    <w:p w:rsidR="00A63037" w:rsidRDefault="00A63037">
      <w:pPr>
        <w:pStyle w:val="ConsPlusNormal"/>
        <w:spacing w:before="220"/>
        <w:ind w:firstLine="540"/>
        <w:jc w:val="both"/>
      </w:pPr>
      <w:r>
        <w:t xml:space="preserve">16. Органы местного самоуправления муниципального образования предоставляют в Министерство ежеквартальные отчеты о расходах и о достижении </w:t>
      </w:r>
      <w:proofErr w:type="gramStart"/>
      <w:r>
        <w:t>значений показателей результативности использования субсидий</w:t>
      </w:r>
      <w:proofErr w:type="gramEnd"/>
      <w:r>
        <w:t xml:space="preserve"> в порядке и сроки, которые указаны в соглашении, по установленной соглашением форме.</w:t>
      </w:r>
    </w:p>
    <w:p w:rsidR="00A63037" w:rsidRDefault="00A63037">
      <w:pPr>
        <w:pStyle w:val="ConsPlusNormal"/>
        <w:spacing w:before="220"/>
        <w:ind w:firstLine="540"/>
        <w:jc w:val="both"/>
      </w:pPr>
      <w:r>
        <w:t>Отчетность представляется в электронном виде и на бумажном носителе.</w:t>
      </w:r>
    </w:p>
    <w:p w:rsidR="00A63037" w:rsidRDefault="00A63037">
      <w:pPr>
        <w:pStyle w:val="ConsPlusNormal"/>
        <w:spacing w:before="220"/>
        <w:ind w:firstLine="540"/>
        <w:jc w:val="both"/>
      </w:pPr>
      <w:r>
        <w:t>17. Ответственность за достоверность представляемых в Министерство сведений возлагается на орган местного самоуправления муниципального образования.</w:t>
      </w:r>
    </w:p>
    <w:p w:rsidR="00A63037" w:rsidRDefault="00A63037">
      <w:pPr>
        <w:pStyle w:val="ConsPlusNormal"/>
        <w:spacing w:before="220"/>
        <w:ind w:firstLine="540"/>
        <w:jc w:val="both"/>
      </w:pPr>
      <w:r>
        <w:t>18.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A63037" w:rsidRDefault="00A63037">
      <w:pPr>
        <w:pStyle w:val="ConsPlusNormal"/>
        <w:spacing w:before="220"/>
        <w:ind w:firstLine="540"/>
        <w:jc w:val="both"/>
      </w:pPr>
      <w:proofErr w:type="gramStart"/>
      <w:r>
        <w:t>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w:t>
      </w:r>
      <w:proofErr w:type="gramEnd"/>
      <w:r>
        <w:t xml:space="preserve"> предоставления указанных субсидий.</w:t>
      </w:r>
    </w:p>
    <w:p w:rsidR="00A63037" w:rsidRDefault="00A63037">
      <w:pPr>
        <w:pStyle w:val="ConsPlusNormal"/>
        <w:spacing w:before="220"/>
        <w:ind w:firstLine="540"/>
        <w:jc w:val="both"/>
      </w:pPr>
      <w:proofErr w:type="gramStart"/>
      <w: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roofErr w:type="gramEnd"/>
    </w:p>
    <w:p w:rsidR="00A63037" w:rsidRDefault="00A63037">
      <w:pPr>
        <w:pStyle w:val="ConsPlusNormal"/>
        <w:spacing w:before="220"/>
        <w:ind w:firstLine="540"/>
        <w:jc w:val="both"/>
      </w:pPr>
      <w:proofErr w:type="gramStart"/>
      <w: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бюджетных средств областного бюджета.</w:t>
      </w:r>
      <w:proofErr w:type="gramEnd"/>
    </w:p>
    <w:p w:rsidR="00A63037" w:rsidRDefault="00A63037">
      <w:pPr>
        <w:pStyle w:val="ConsPlusNormal"/>
        <w:spacing w:before="220"/>
        <w:ind w:firstLine="540"/>
        <w:jc w:val="both"/>
      </w:pPr>
      <w:proofErr w:type="gramStart"/>
      <w:r>
        <w:t>Внесение в установленном порядке в сводную бюджетную роспись областного бюджета и лимиты бюджетных обязательств изменений,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главным распорядителем средств областного бюджета в Министерство финансов Мурманской области.</w:t>
      </w:r>
    </w:p>
    <w:p w:rsidR="00A63037" w:rsidRDefault="00A63037">
      <w:pPr>
        <w:pStyle w:val="ConsPlusNormal"/>
        <w:spacing w:before="220"/>
        <w:ind w:firstLine="540"/>
        <w:jc w:val="both"/>
      </w:pPr>
      <w:r>
        <w:t xml:space="preserve">19. В </w:t>
      </w:r>
      <w:proofErr w:type="gramStart"/>
      <w:r>
        <w:t>случае</w:t>
      </w:r>
      <w:proofErr w:type="gramEnd"/>
      <w:r>
        <w:t xml:space="preserve">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A63037" w:rsidRDefault="00A63037">
      <w:pPr>
        <w:pStyle w:val="ConsPlusNormal"/>
        <w:spacing w:before="220"/>
        <w:ind w:firstLine="540"/>
        <w:jc w:val="both"/>
      </w:pPr>
      <w:r>
        <w:t xml:space="preserve">20. </w:t>
      </w:r>
      <w:proofErr w:type="gramStart"/>
      <w:r>
        <w:t>Контроль за</w:t>
      </w:r>
      <w:proofErr w:type="gramEnd"/>
      <w:r>
        <w:t xml:space="preserve"> соблюдением органом местного самоуправления условий, целей и порядка получения субсидий, установленных при их предоставлении, осуществляется Министерством, органами государственного финансового контроля Мурманской области.</w:t>
      </w:r>
    </w:p>
    <w:p w:rsidR="00A63037" w:rsidRDefault="00A63037">
      <w:pPr>
        <w:pStyle w:val="ConsPlusNormal"/>
      </w:pPr>
      <w:hyperlink r:id="rId15">
        <w:r>
          <w:rPr>
            <w:i/>
            <w:color w:val="0000FF"/>
          </w:rPr>
          <w:br/>
          <w:t>Постановление Правительства Мурманской области от 11.11.2020 N 790-ПП (ред. от 30.09.2025) "Об утверждении государственной программы Мурманской области "Культура" {КонсультантПлюс}</w:t>
        </w:r>
      </w:hyperlink>
      <w:r>
        <w:br/>
      </w:r>
    </w:p>
    <w:p w:rsidR="00F72313" w:rsidRDefault="00F72313">
      <w:bookmarkStart w:id="1" w:name="_GoBack"/>
      <w:bookmarkEnd w:id="1"/>
    </w:p>
    <w:sectPr w:rsidR="00F72313" w:rsidSect="00536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037"/>
    <w:rsid w:val="00A63037"/>
    <w:rsid w:val="00F72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3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63037"/>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3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63037"/>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90&amp;dst=12300" TargetMode="External"/><Relationship Id="rId13" Type="http://schemas.openxmlformats.org/officeDocument/2006/relationships/hyperlink" Target="https://login.consultant.ru/link/?req=doc&amp;base=RLAW087&amp;n=134651&amp;dst=100385" TargetMode="External"/><Relationship Id="rId3" Type="http://schemas.openxmlformats.org/officeDocument/2006/relationships/settings" Target="settings.xml"/><Relationship Id="rId7" Type="http://schemas.openxmlformats.org/officeDocument/2006/relationships/hyperlink" Target="https://login.consultant.ru/link/?req=doc&amp;base=LAW&amp;n=494990&amp;dst=12327" TargetMode="External"/><Relationship Id="rId12" Type="http://schemas.openxmlformats.org/officeDocument/2006/relationships/hyperlink" Target="https://login.consultant.ru/link/?req=doc&amp;base=RLAW087&amp;n=134651&amp;dst=100476"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84542&amp;dst=100012" TargetMode="External"/><Relationship Id="rId11" Type="http://schemas.openxmlformats.org/officeDocument/2006/relationships/hyperlink" Target="https://login.consultant.ru/link/?req=doc&amp;base=RLAW087&amp;n=134651&amp;dst=100305" TargetMode="External"/><Relationship Id="rId5" Type="http://schemas.openxmlformats.org/officeDocument/2006/relationships/hyperlink" Target="https://login.consultant.ru/link/?req=doc&amp;base=RLAW087&amp;n=137162&amp;dst=100008" TargetMode="External"/><Relationship Id="rId15" Type="http://schemas.openxmlformats.org/officeDocument/2006/relationships/hyperlink" Target="https://login.consultant.ru/link/?req=doc&amp;base=RLAW087&amp;n=141360&amp;dst=146456" TargetMode="External"/><Relationship Id="rId10" Type="http://schemas.openxmlformats.org/officeDocument/2006/relationships/hyperlink" Target="https://login.consultant.ru/link/?req=doc&amp;base=LAW&amp;n=4830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3052" TargetMode="External"/><Relationship Id="rId14" Type="http://schemas.openxmlformats.org/officeDocument/2006/relationships/hyperlink" Target="https://login.consultant.ru/link/?req=doc&amp;base=RLAW087&amp;n=134651&amp;dst=100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2629</Words>
  <Characters>14990</Characters>
  <Application>Microsoft Office Word</Application>
  <DocSecurity>0</DocSecurity>
  <Lines>124</Lines>
  <Paragraphs>35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5</vt:lpstr>
    </vt:vector>
  </TitlesOfParts>
  <Company>Министерство финансов МО</Company>
  <LinksUpToDate>false</LinksUpToDate>
  <CharactersWithSpaces>17584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2025-10-24T17:46:00Z</dcterms:created>
  <dcterms:modified xsi:type="dcterms:W3CDTF">2025-10-24T17:47:00Z</dcterms:modified>
</cp:coreProperties>
</file>